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62B2" w14:textId="77777777" w:rsidR="003B0EA6" w:rsidRPr="00ED5EBF" w:rsidRDefault="003B0EA6" w:rsidP="003B0EA6">
      <w:pPr>
        <w:pStyle w:val="Titr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entury Gothic" w:hAnsi="Century Gothic"/>
          <w:sz w:val="28"/>
          <w:szCs w:val="28"/>
        </w:rPr>
      </w:pPr>
      <w:r w:rsidRPr="00ED5EBF">
        <w:rPr>
          <w:rFonts w:ascii="Century Gothic" w:hAnsi="Century Gothic"/>
          <w:sz w:val="28"/>
          <w:szCs w:val="28"/>
        </w:rPr>
        <w:t>Formulaire de demande ou de renouvellement de l’agrément d’un module de formation initiale/continue pour la phytolicence</w:t>
      </w:r>
    </w:p>
    <w:p w14:paraId="58DF3BC7" w14:textId="77777777" w:rsidR="003B0EA6" w:rsidRDefault="003B0EA6" w:rsidP="003B0EA6">
      <w:pPr>
        <w:spacing w:after="0"/>
        <w:jc w:val="both"/>
        <w:rPr>
          <w:rFonts w:ascii="Century Gothic" w:hAnsi="Century Gothic"/>
          <w:sz w:val="20"/>
        </w:rPr>
      </w:pPr>
    </w:p>
    <w:p w14:paraId="07051777" w14:textId="77777777" w:rsidR="003B0EA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Toute (re-)soumission de ce formulaire doit se faire </w:t>
      </w:r>
      <w:r w:rsidRPr="00BF707C">
        <w:rPr>
          <w:rFonts w:ascii="Century Gothic" w:hAnsi="Century Gothic"/>
          <w:color w:val="FF0000"/>
          <w:sz w:val="20"/>
        </w:rPr>
        <w:t xml:space="preserve">au format Word </w:t>
      </w:r>
      <w:r w:rsidRPr="00E90C06">
        <w:rPr>
          <w:rFonts w:ascii="Century Gothic" w:hAnsi="Century Gothic"/>
          <w:sz w:val="20"/>
        </w:rPr>
        <w:t xml:space="preserve">via les adresses </w:t>
      </w:r>
      <w:hyperlink r:id="rId7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formations.phytolicence.dgarne@spw.wallonie.be</w:t>
        </w:r>
      </w:hyperlink>
      <w:r w:rsidRPr="00E90C06">
        <w:rPr>
          <w:rFonts w:ascii="Century Gothic" w:hAnsi="Century Gothic"/>
          <w:sz w:val="20"/>
        </w:rPr>
        <w:t xml:space="preserve"> et </w:t>
      </w:r>
      <w:hyperlink r:id="rId8" w:history="1">
        <w:r w:rsidRPr="00E90C06">
          <w:rPr>
            <w:rFonts w:ascii="Century Gothic" w:hAnsi="Century Gothic"/>
            <w:color w:val="4472C4" w:themeColor="accent1"/>
            <w:sz w:val="20"/>
            <w:u w:val="single"/>
          </w:rPr>
          <w:t>info@pwrp.be</w:t>
        </w:r>
      </w:hyperlink>
      <w:r w:rsidRPr="00E90C06">
        <w:rPr>
          <w:rFonts w:ascii="Century Gothic" w:hAnsi="Century Gothic"/>
          <w:sz w:val="20"/>
        </w:rPr>
        <w:t>.</w:t>
      </w:r>
    </w:p>
    <w:p w14:paraId="6961DF5C" w14:textId="4A4CDB4E" w:rsidR="003B0EA6" w:rsidRPr="00E90C06" w:rsidRDefault="003B0EA6" w:rsidP="003B0EA6">
      <w:pPr>
        <w:jc w:val="both"/>
        <w:rPr>
          <w:rFonts w:ascii="Century Gothic" w:hAnsi="Century Gothic"/>
          <w:sz w:val="20"/>
        </w:rPr>
      </w:pPr>
      <w:r w:rsidRPr="00E90C06">
        <w:rPr>
          <w:rFonts w:ascii="Century Gothic" w:hAnsi="Century Gothic"/>
          <w:sz w:val="20"/>
        </w:rPr>
        <w:t xml:space="preserve">Le support de formation est à fournir lors de toute demande de renouvellement, et après la première formation </w:t>
      </w:r>
      <w:r>
        <w:rPr>
          <w:rFonts w:ascii="Century Gothic" w:hAnsi="Century Gothic"/>
          <w:sz w:val="20"/>
        </w:rPr>
        <w:t xml:space="preserve">pour </w:t>
      </w:r>
      <w:r w:rsidRPr="00E90C06">
        <w:rPr>
          <w:rFonts w:ascii="Century Gothic" w:hAnsi="Century Gothic"/>
          <w:sz w:val="20"/>
        </w:rPr>
        <w:t>toute nouvelle demande dès le 1er janvier 2023</w:t>
      </w:r>
      <w:r w:rsidR="009C65D8">
        <w:rPr>
          <w:rFonts w:ascii="Century Gothic" w:hAnsi="Century Gothic"/>
          <w:sz w:val="20"/>
        </w:rPr>
        <w:t>.</w:t>
      </w:r>
    </w:p>
    <w:p w14:paraId="6AC2AFED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Informations générales</w:t>
      </w:r>
    </w:p>
    <w:p w14:paraId="49E3F954" w14:textId="5F3C9EE2" w:rsidR="003B0EA6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Porteur d’agrément</w:t>
      </w:r>
      <w:r w:rsidR="009A7370">
        <w:rPr>
          <w:rFonts w:ascii="Century Gothic" w:hAnsi="Century Gothic"/>
          <w:sz w:val="20"/>
        </w:rPr>
        <w:t xml:space="preserve"> (un seul </w:t>
      </w:r>
      <w:r w:rsidR="00BE244D">
        <w:rPr>
          <w:rFonts w:ascii="Century Gothic" w:hAnsi="Century Gothic"/>
          <w:sz w:val="20"/>
        </w:rPr>
        <w:t>centre</w:t>
      </w:r>
      <w:r w:rsidR="009A7370">
        <w:rPr>
          <w:rFonts w:ascii="Century Gothic" w:hAnsi="Century Gothic"/>
          <w:sz w:val="20"/>
        </w:rPr>
        <w:t>)</w:t>
      </w:r>
      <w:r>
        <w:rPr>
          <w:rFonts w:ascii="Century Gothic" w:hAnsi="Century Gothic"/>
          <w:sz w:val="20"/>
        </w:rPr>
        <w:t> :</w:t>
      </w:r>
    </w:p>
    <w:p w14:paraId="49E0EA6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Intitulé de la formation : </w:t>
      </w:r>
    </w:p>
    <w:p w14:paraId="548C3D11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Type de phytolicence concernée</w:t>
      </w:r>
      <w:r w:rsidRPr="00BB1DDD">
        <w:rPr>
          <w:rStyle w:val="Appelnotedebasdep"/>
          <w:rFonts w:ascii="Century Gothic" w:hAnsi="Century Gothic"/>
          <w:sz w:val="20"/>
        </w:rPr>
        <w:footnoteReference w:id="1"/>
      </w:r>
      <w:r w:rsidRPr="00BB1DDD">
        <w:rPr>
          <w:rFonts w:ascii="Century Gothic" w:hAnsi="Century Gothic"/>
          <w:sz w:val="20"/>
        </w:rPr>
        <w:t xml:space="preserve"> : </w:t>
      </w:r>
      <w:r w:rsidRPr="00BB1DDD">
        <w:rPr>
          <w:rFonts w:ascii="Century Gothic" w:hAnsi="Century Gothic"/>
          <w:sz w:val="20"/>
        </w:rPr>
        <w:tab/>
        <w:t>P1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>P2</w:t>
      </w:r>
      <w:r>
        <w:rPr>
          <w:rFonts w:ascii="Century Gothic" w:hAnsi="Century Gothic"/>
          <w:sz w:val="20"/>
        </w:rPr>
        <w:t xml:space="preserve"> -</w:t>
      </w:r>
      <w:r w:rsidRPr="00BB1DDD">
        <w:rPr>
          <w:rFonts w:ascii="Century Gothic" w:hAnsi="Century Gothic"/>
          <w:sz w:val="20"/>
        </w:rPr>
        <w:t xml:space="preserve"> P3</w:t>
      </w:r>
      <w:r>
        <w:rPr>
          <w:rFonts w:ascii="Century Gothic" w:hAnsi="Century Gothic"/>
          <w:sz w:val="20"/>
        </w:rPr>
        <w:t xml:space="preserve"> - </w:t>
      </w:r>
      <w:r w:rsidRPr="00BB1DDD">
        <w:rPr>
          <w:rFonts w:ascii="Century Gothic" w:hAnsi="Century Gothic"/>
          <w:sz w:val="20"/>
        </w:rPr>
        <w:t xml:space="preserve">NP </w:t>
      </w:r>
    </w:p>
    <w:p w14:paraId="230F8700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Public-cible : </w:t>
      </w:r>
    </w:p>
    <w:p w14:paraId="25BACBF7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Année : </w:t>
      </w:r>
    </w:p>
    <w:p w14:paraId="0A2F88B8" w14:textId="77777777" w:rsidR="003B0EA6" w:rsidRPr="00BB1DDD" w:rsidRDefault="003B0EA6" w:rsidP="003B0EA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Formateurs</w:t>
      </w:r>
      <w:r>
        <w:rPr>
          <w:rFonts w:ascii="Century Gothic" w:hAnsi="Century Gothic"/>
          <w:sz w:val="20"/>
        </w:rPr>
        <w:t xml:space="preserve"> </w:t>
      </w:r>
      <w:r w:rsidRPr="00BB1DDD">
        <w:rPr>
          <w:rFonts w:ascii="Century Gothic" w:hAnsi="Century Gothic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50"/>
        <w:gridCol w:w="3473"/>
      </w:tblGrid>
      <w:tr w:rsidR="003B0EA6" w:rsidRPr="00A20AFB" w14:paraId="47F2EF2F" w14:textId="77777777" w:rsidTr="00114AEE">
        <w:trPr>
          <w:trHeight w:val="397"/>
          <w:jc w:val="center"/>
        </w:trPr>
        <w:tc>
          <w:tcPr>
            <w:tcW w:w="3191" w:type="dxa"/>
            <w:shd w:val="clear" w:color="auto" w:fill="auto"/>
            <w:vAlign w:val="center"/>
          </w:tcPr>
          <w:p w14:paraId="5C9CA0FB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Nom</w:t>
            </w:r>
          </w:p>
        </w:tc>
        <w:tc>
          <w:tcPr>
            <w:tcW w:w="3050" w:type="dxa"/>
            <w:vAlign w:val="center"/>
          </w:tcPr>
          <w:p w14:paraId="7FD8A87A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A20AFB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N° de phytolicence*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5C454B8" w14:textId="77777777" w:rsidR="003B0EA6" w:rsidRPr="00A20AFB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Centre intervenant</w:t>
            </w:r>
          </w:p>
        </w:tc>
      </w:tr>
      <w:tr w:rsidR="003B0EA6" w:rsidRPr="00BB1DDD" w14:paraId="6D50633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DCEBDD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0F557377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C3B62F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7C09AA74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FFA10E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766B665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A702A0B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4F8F0110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19DD28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471AE29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28333543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3E11AB8C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3C28A5B8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7E6A54B0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503FE3C4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B0EA6" w:rsidRPr="00BB1DDD" w14:paraId="6BC6FA89" w14:textId="77777777" w:rsidTr="00114AEE">
        <w:trPr>
          <w:trHeight w:val="340"/>
          <w:jc w:val="center"/>
        </w:trPr>
        <w:tc>
          <w:tcPr>
            <w:tcW w:w="3191" w:type="dxa"/>
            <w:shd w:val="clear" w:color="auto" w:fill="auto"/>
          </w:tcPr>
          <w:p w14:paraId="46EEEF6D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050" w:type="dxa"/>
          </w:tcPr>
          <w:p w14:paraId="57641312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473" w:type="dxa"/>
            <w:shd w:val="clear" w:color="auto" w:fill="auto"/>
          </w:tcPr>
          <w:p w14:paraId="353C77A6" w14:textId="77777777" w:rsidR="003B0EA6" w:rsidRPr="00BB1DDD" w:rsidRDefault="003B0EA6" w:rsidP="00114AEE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B8654CD" w14:textId="77777777" w:rsidR="003B0EA6" w:rsidRPr="003D1192" w:rsidRDefault="003B0EA6" w:rsidP="003B0EA6">
      <w:pPr>
        <w:spacing w:before="60"/>
        <w:ind w:left="425" w:right="425"/>
        <w:jc w:val="center"/>
        <w:rPr>
          <w:rFonts w:ascii="Century Gothic" w:hAnsi="Century Gothic"/>
          <w:sz w:val="14"/>
        </w:rPr>
      </w:pPr>
      <w:r w:rsidRPr="003D1192">
        <w:rPr>
          <w:rFonts w:ascii="Century Gothic" w:hAnsi="Century Gothic"/>
          <w:sz w:val="14"/>
        </w:rPr>
        <w:t xml:space="preserve">* Les experts </w:t>
      </w:r>
      <w:r>
        <w:rPr>
          <w:rFonts w:ascii="Century Gothic" w:hAnsi="Century Gothic"/>
          <w:sz w:val="14"/>
        </w:rPr>
        <w:t xml:space="preserve">intervenant </w:t>
      </w:r>
      <w:r w:rsidRPr="003D1192">
        <w:rPr>
          <w:rFonts w:ascii="Century Gothic" w:hAnsi="Century Gothic"/>
          <w:sz w:val="14"/>
        </w:rPr>
        <w:t>dans le cadre de formations initiales et continues sur des thématiques spécifiques qui ne sont pas</w:t>
      </w:r>
      <w:r>
        <w:rPr>
          <w:rFonts w:ascii="Century Gothic" w:hAnsi="Century Gothic"/>
          <w:sz w:val="14"/>
        </w:rPr>
        <w:t xml:space="preserve"> </w:t>
      </w:r>
      <w:r w:rsidRPr="003D1192">
        <w:rPr>
          <w:rFonts w:ascii="Century Gothic" w:hAnsi="Century Gothic"/>
          <w:sz w:val="14"/>
        </w:rPr>
        <w:t>liées aux produits phytopharmaceutiques ne doivent pas nécessairement disposer d’une phytolicence</w:t>
      </w:r>
      <w:r>
        <w:rPr>
          <w:rFonts w:ascii="Century Gothic" w:hAnsi="Century Gothic"/>
          <w:sz w:val="14"/>
        </w:rPr>
        <w:t xml:space="preserve"> « Distribution/conseil » (P3)</w:t>
      </w:r>
    </w:p>
    <w:p w14:paraId="7B702033" w14:textId="77777777" w:rsidR="003B0EA6" w:rsidRPr="00BB1DDD" w:rsidRDefault="003B0EA6" w:rsidP="003B0EA6">
      <w:pPr>
        <w:pStyle w:val="Paragraphedeliste"/>
        <w:ind w:left="1080"/>
        <w:jc w:val="both"/>
        <w:rPr>
          <w:rFonts w:ascii="Century Gothic" w:hAnsi="Century Gothic"/>
          <w:sz w:val="14"/>
        </w:rPr>
      </w:pPr>
    </w:p>
    <w:p w14:paraId="17903BA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Objectifs de la formation</w:t>
      </w:r>
    </w:p>
    <w:p w14:paraId="134DBB68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Quelles sont les compétences que la formation va développer ?</w:t>
      </w:r>
    </w:p>
    <w:p w14:paraId="281B45AC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0A80A690" w14:textId="77777777" w:rsidR="00A4370A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</w:p>
    <w:p w14:paraId="394C9680" w14:textId="47E72B9B" w:rsidR="003B0EA6" w:rsidRDefault="00A4370A" w:rsidP="00A4370A">
      <w:pPr>
        <w:tabs>
          <w:tab w:val="left" w:pos="3254"/>
        </w:tabs>
        <w:ind w:right="142" w:firstLine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2D0A5139" w14:textId="77777777" w:rsidR="002E200F" w:rsidRDefault="002E200F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4A367D1F" w14:textId="77777777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76AF930" w14:textId="0AF7A80D" w:rsidR="003B0EA6" w:rsidRDefault="003B0EA6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2E34035F" w14:textId="77777777" w:rsidR="004536C9" w:rsidRDefault="004536C9" w:rsidP="003B0EA6">
      <w:pPr>
        <w:ind w:right="142" w:firstLine="360"/>
        <w:jc w:val="both"/>
        <w:rPr>
          <w:rFonts w:ascii="Century Gothic" w:hAnsi="Century Gothic"/>
          <w:sz w:val="20"/>
        </w:rPr>
      </w:pPr>
    </w:p>
    <w:p w14:paraId="63C954A0" w14:textId="77777777" w:rsidR="009562AB" w:rsidRDefault="009562AB" w:rsidP="009562AB">
      <w:pPr>
        <w:pStyle w:val="Titre1"/>
        <w:spacing w:before="240" w:beforeAutospacing="0" w:after="120" w:afterAutospacing="0"/>
        <w:ind w:left="714"/>
        <w:jc w:val="both"/>
        <w:rPr>
          <w:rFonts w:ascii="Century Gothic" w:hAnsi="Century Gothic"/>
          <w:sz w:val="22"/>
        </w:rPr>
      </w:pPr>
    </w:p>
    <w:p w14:paraId="15FD8257" w14:textId="09AA4297" w:rsidR="003B0EA6" w:rsidRPr="00577F59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Thématiques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pour les</w:t>
      </w:r>
      <w:r w:rsidRPr="00577F59">
        <w:rPr>
          <w:rFonts w:ascii="Century Gothic" w:hAnsi="Century Gothic"/>
          <w:sz w:val="22"/>
        </w:rPr>
        <w:t xml:space="preserve"> formation</w:t>
      </w:r>
      <w:r>
        <w:rPr>
          <w:rFonts w:ascii="Century Gothic" w:hAnsi="Century Gothic"/>
          <w:sz w:val="22"/>
        </w:rPr>
        <w:t>s</w:t>
      </w:r>
      <w:r w:rsidRPr="00577F5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continues </w:t>
      </w:r>
      <w:r w:rsidRPr="00577F59">
        <w:rPr>
          <w:rFonts w:ascii="Century Gothic" w:hAnsi="Century Gothic"/>
          <w:sz w:val="22"/>
        </w:rPr>
        <w:t>phytolicence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1134"/>
      </w:tblGrid>
      <w:tr w:rsidR="003B0EA6" w:rsidRPr="00BD59DE" w14:paraId="244B4002" w14:textId="77777777" w:rsidTr="00DC532B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397E120E" w14:textId="77777777" w:rsidR="003B0EA6" w:rsidRPr="00BD59DE" w:rsidRDefault="003B0EA6" w:rsidP="00114AEE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Thème principal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8783BF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 w:rsidRPr="00BD59DE"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Sous-thème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5F600" w14:textId="77777777" w:rsidR="003B0EA6" w:rsidRPr="00BD59DE" w:rsidRDefault="003B0EA6" w:rsidP="00114AEE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u w:val="single"/>
              </w:rPr>
              <w:t>Minutes</w:t>
            </w:r>
          </w:p>
        </w:tc>
      </w:tr>
      <w:tr w:rsidR="003B0EA6" w:rsidRPr="00BB1DDD" w14:paraId="50F8710D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5E356A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PPP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(définition, classification, modes d’action, formulations, …)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135C4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7C56A66" w14:textId="77777777" w:rsidTr="00DC532B">
        <w:trPr>
          <w:trHeight w:val="283"/>
        </w:trPr>
        <w:tc>
          <w:tcPr>
            <w:tcW w:w="1844" w:type="dxa"/>
            <w:vMerge w:val="restart"/>
            <w:shd w:val="clear" w:color="auto" w:fill="auto"/>
          </w:tcPr>
          <w:p w14:paraId="6615D92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Législation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39DBA1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Utilisation et stockage des PPP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B9D7C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890159A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1B8FA86B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13CD0C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Gestion des emballages, effluents phytos,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28689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7FC1E93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2A999B0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1DC119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Aspects environnementaux : zones tampons, sites Natura 2000, bois et forêts, captages,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C79DE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C16E53C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E2DE0F0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11B5AD6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Espaces publics et groupes vulnérables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A32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B949B19" w14:textId="77777777" w:rsidTr="00DC532B">
        <w:trPr>
          <w:trHeight w:val="510"/>
        </w:trPr>
        <w:tc>
          <w:tcPr>
            <w:tcW w:w="1844" w:type="dxa"/>
            <w:vMerge/>
            <w:shd w:val="clear" w:color="auto" w:fill="auto"/>
            <w:vAlign w:val="center"/>
          </w:tcPr>
          <w:p w14:paraId="3564E3C6" w14:textId="77777777" w:rsidR="003B0EA6" w:rsidRPr="00BD59DE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A82E683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Impacts du non-respect de la législation (produits non autorisés, contrefaçons, résidus, conditionnalité, apparition de résistances, 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29A7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46F2CAB" w14:textId="77777777" w:rsidTr="00DC532B">
        <w:trPr>
          <w:trHeight w:val="1191"/>
        </w:trPr>
        <w:tc>
          <w:tcPr>
            <w:tcW w:w="1844" w:type="dxa"/>
            <w:vMerge w:val="restart"/>
          </w:tcPr>
          <w:p w14:paraId="4F0EE71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Sensibilisation aux risques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C47B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la santé :</w:t>
            </w:r>
          </w:p>
          <w:p w14:paraId="51CF545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Toxicité, contamination, …</w:t>
            </w:r>
          </w:p>
          <w:p w14:paraId="19E4B0F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pour l’opérateur et les tiers, équipements de protection individuels</w:t>
            </w:r>
          </w:p>
          <w:p w14:paraId="7566594F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Symptômes, premiers secours et déclaration d’incident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D1A8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1525BD68" w14:textId="77777777" w:rsidTr="00DC532B">
        <w:trPr>
          <w:trHeight w:val="964"/>
        </w:trPr>
        <w:tc>
          <w:tcPr>
            <w:tcW w:w="1844" w:type="dxa"/>
            <w:vMerge/>
            <w:vAlign w:val="center"/>
          </w:tcPr>
          <w:p w14:paraId="7811798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17129D5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Risques pour l’environnement :</w:t>
            </w:r>
          </w:p>
          <w:p w14:paraId="7D5EA3E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Effets sur les plantes non-cibles, les auxiliaires, la faune sauvage, les pollinisateurs, la ressource en eau, le sol, … </w:t>
            </w:r>
          </w:p>
          <w:p w14:paraId="32C382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Bonnes pratiques phytosanitaires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0CC2E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5CE33445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63DFF733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21B571D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Problèmes liés à la dérive et à la contamination de l’air, pertes diffuses et ponctuelles, accidents, mauvais dosage, 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9C9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341BFFBF" w14:textId="77777777" w:rsidTr="00DC532B">
        <w:trPr>
          <w:trHeight w:val="510"/>
        </w:trPr>
        <w:tc>
          <w:tcPr>
            <w:tcW w:w="1844" w:type="dxa"/>
            <w:vMerge/>
            <w:vAlign w:val="center"/>
          </w:tcPr>
          <w:p w14:paraId="13592AF0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ED0F3EE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Mesures d’urgence pour protéger l’environnement et la santé en cas de contamination à grande échelle et signalement des incidents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ADAE3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6DF4051" w14:textId="77777777" w:rsidTr="00DC532B">
        <w:trPr>
          <w:trHeight w:val="283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12F0E97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Local phyto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 </w:t>
            </w: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 xml:space="preserve">: </w:t>
            </w: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aménagement et gestion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F8647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5C5122C" w14:textId="77777777" w:rsidTr="00DC532B">
        <w:trPr>
          <w:trHeight w:val="1191"/>
        </w:trPr>
        <w:tc>
          <w:tcPr>
            <w:tcW w:w="1844" w:type="dxa"/>
            <w:vMerge w:val="restart"/>
            <w:shd w:val="clear" w:color="auto" w:fill="auto"/>
          </w:tcPr>
          <w:p w14:paraId="3DB313E8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Manipulation des PPP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0F72C4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Utilisation :</w:t>
            </w:r>
          </w:p>
          <w:p w14:paraId="5DB2879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Choix du produit : consultation des autorisations (</w:t>
            </w:r>
            <w:proofErr w:type="spellStart"/>
            <w:r w:rsidRPr="00BD59DE">
              <w:rPr>
                <w:rFonts w:ascii="Century Gothic" w:eastAsia="Calibri" w:hAnsi="Century Gothic"/>
                <w:sz w:val="19"/>
                <w:szCs w:val="19"/>
              </w:rPr>
              <w:t>Phytoweb</w:t>
            </w:r>
            <w:proofErr w:type="spellEnd"/>
            <w:r w:rsidRPr="00BD59DE">
              <w:rPr>
                <w:rFonts w:ascii="Century Gothic" w:eastAsia="Calibri" w:hAnsi="Century Gothic"/>
                <w:sz w:val="19"/>
                <w:szCs w:val="19"/>
              </w:rPr>
              <w:t>)</w:t>
            </w:r>
          </w:p>
          <w:p w14:paraId="25099E0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Matériel de pulvérisation et entretien </w:t>
            </w:r>
          </w:p>
          <w:p w14:paraId="7CFF4B8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Lecture de l’étiquette</w:t>
            </w:r>
          </w:p>
          <w:p w14:paraId="6901589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Préparation de la bouillie et pulvérisation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0EEC6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0DC31809" w14:textId="77777777" w:rsidTr="00DC532B">
        <w:trPr>
          <w:trHeight w:val="964"/>
        </w:trPr>
        <w:tc>
          <w:tcPr>
            <w:tcW w:w="1844" w:type="dxa"/>
            <w:vMerge/>
            <w:shd w:val="clear" w:color="auto" w:fill="auto"/>
            <w:vAlign w:val="center"/>
          </w:tcPr>
          <w:p w14:paraId="5456FF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89D189A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 xml:space="preserve">Opérations consécutives à l’utilisation des PPP : </w:t>
            </w:r>
          </w:p>
          <w:p w14:paraId="2DC58EDC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Nettoyage du matériel</w:t>
            </w:r>
          </w:p>
          <w:p w14:paraId="0F06494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Elimination des déchets (emballages, effluents dont bouillies, …)</w:t>
            </w:r>
          </w:p>
          <w:p w14:paraId="7F358A25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Consignation dans les registres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1A27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CABBBD4" w14:textId="77777777" w:rsidTr="00DC532B">
        <w:trPr>
          <w:trHeight w:val="51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07DD276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Détermination des causes et de la sévérité des dégâts aux végétaux et identification des adventices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FAD64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78361193" w14:textId="77777777" w:rsidTr="00DC532B">
        <w:trPr>
          <w:trHeight w:val="283"/>
        </w:trPr>
        <w:tc>
          <w:tcPr>
            <w:tcW w:w="9073" w:type="dxa"/>
            <w:gridSpan w:val="2"/>
            <w:vAlign w:val="center"/>
          </w:tcPr>
          <w:p w14:paraId="6351A06F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Outils d’aide à la décision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BC3B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B99A5BC" w14:textId="77777777" w:rsidTr="00DC532B">
        <w:trPr>
          <w:trHeight w:val="283"/>
        </w:trPr>
        <w:tc>
          <w:tcPr>
            <w:tcW w:w="1844" w:type="dxa"/>
            <w:vMerge w:val="restart"/>
          </w:tcPr>
          <w:p w14:paraId="4D4D350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Stratégies et techniques de protection/lutte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F92F4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Agriculture biologique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7A4C9" w14:textId="77777777" w:rsidR="003B0EA6" w:rsidRPr="00895916" w:rsidRDefault="003B0EA6" w:rsidP="00114AEE">
            <w:pPr>
              <w:spacing w:after="0" w:line="240" w:lineRule="auto"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40B84FF1" w14:textId="77777777" w:rsidTr="00DC532B">
        <w:trPr>
          <w:trHeight w:val="1644"/>
        </w:trPr>
        <w:tc>
          <w:tcPr>
            <w:tcW w:w="1844" w:type="dxa"/>
            <w:vMerge/>
            <w:shd w:val="clear" w:color="auto" w:fill="auto"/>
            <w:vAlign w:val="center"/>
          </w:tcPr>
          <w:p w14:paraId="6077FAA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5D7E54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Lutte intégrée :</w:t>
            </w:r>
          </w:p>
          <w:p w14:paraId="7684DF36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Prévention : bonnes pratiques agricoles</w:t>
            </w:r>
          </w:p>
          <w:p w14:paraId="627420D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Surveillance : diagnostics, avertissements et seuils</w:t>
            </w:r>
          </w:p>
          <w:p w14:paraId="1C1BB1B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Réflexion : choix puis application des moyens de gestion selon la cible et les risques pour la santé/l’environnement, taux de réussite</w:t>
            </w:r>
          </w:p>
          <w:p w14:paraId="6D7C9CE1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Privilégier les alternatives à l’utilisation des PPP :</w:t>
            </w:r>
            <w:r w:rsidRPr="00BD59DE">
              <w:rPr>
                <w:rFonts w:ascii="Century Gothic" w:eastAsia="Calibri" w:hAnsi="Century Gothic"/>
                <w:b/>
                <w:bCs/>
                <w:sz w:val="19"/>
                <w:szCs w:val="19"/>
              </w:rPr>
              <w:t xml:space="preserve">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méthodes physiques, biologiques, techniques agronomiques,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B4BD0" w14:textId="77777777" w:rsidR="003B0EA6" w:rsidRPr="00895916" w:rsidRDefault="003B0EA6" w:rsidP="00114AEE">
            <w:pPr>
              <w:spacing w:after="0" w:line="240" w:lineRule="auto"/>
              <w:ind w:left="172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</w:p>
        </w:tc>
      </w:tr>
      <w:tr w:rsidR="003B0EA6" w:rsidRPr="00BB1DDD" w14:paraId="6DFBF489" w14:textId="77777777" w:rsidTr="00DC532B">
        <w:trPr>
          <w:trHeight w:val="1417"/>
        </w:trPr>
        <w:tc>
          <w:tcPr>
            <w:tcW w:w="1844" w:type="dxa"/>
            <w:vMerge/>
            <w:vAlign w:val="center"/>
          </w:tcPr>
          <w:p w14:paraId="79DFA12C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36FFE9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Cs/>
                <w:sz w:val="19"/>
                <w:szCs w:val="19"/>
              </w:rPr>
              <w:t>Techniques innovantes :</w:t>
            </w:r>
          </w:p>
          <w:p w14:paraId="400448EA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conservation</w:t>
            </w:r>
          </w:p>
          <w:p w14:paraId="7F6E067B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Agriculture de précision (drones, photo/télédétection, …)</w:t>
            </w:r>
          </w:p>
          <w:p w14:paraId="3AFB95D8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Optimisation de la pulvérisation (bas volume, buses antidérive, …)</w:t>
            </w:r>
          </w:p>
          <w:p w14:paraId="60B04E5E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Éliciteurs et stimulateurs des défenses naturelles des plantes</w:t>
            </w:r>
          </w:p>
          <w:p w14:paraId="66BB5040" w14:textId="77777777" w:rsidR="003B0EA6" w:rsidRPr="00BD59DE" w:rsidRDefault="003B0EA6" w:rsidP="003B0EA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5" w:hanging="141"/>
              <w:rPr>
                <w:rFonts w:ascii="Century Gothic" w:eastAsia="Calibri" w:hAnsi="Century Gothic"/>
                <w:bCs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Agents et produits de biocontrôle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29ADD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21CF8CE0" w14:textId="77777777" w:rsidTr="00DC532B">
        <w:trPr>
          <w:trHeight w:val="737"/>
        </w:trPr>
        <w:tc>
          <w:tcPr>
            <w:tcW w:w="1844" w:type="dxa"/>
            <w:vMerge w:val="restart"/>
            <w:shd w:val="clear" w:color="auto" w:fill="auto"/>
          </w:tcPr>
          <w:p w14:paraId="75E12D5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b/>
                <w:sz w:val="19"/>
                <w:szCs w:val="19"/>
              </w:rPr>
              <w:t>Communication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947EE0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Conseils de communication proactive pour les applicateurs de PPP envers les publics susceptibles d’être exposés à leur pratiques </w:t>
            </w:r>
            <w:r w:rsidRPr="00BD59DE">
              <w:rPr>
                <w:rFonts w:ascii="Century Gothic" w:hAnsi="Century Gothic"/>
                <w:sz w:val="19"/>
                <w:szCs w:val="19"/>
              </w:rPr>
              <w:t>(passants, riverains, collègues, …) et gestion des conflits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43A5C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6A0FCB82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325C42B8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878626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Echanges (consignes, règles,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informations)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 xml:space="preserve"> entre</w:t>
            </w:r>
            <w:r>
              <w:rPr>
                <w:rFonts w:ascii="Century Gothic" w:eastAsia="Calibri" w:hAnsi="Century Gothic"/>
                <w:sz w:val="19"/>
                <w:szCs w:val="19"/>
              </w:rPr>
              <w:t xml:space="preserve"> titulaires de </w:t>
            </w:r>
            <w:r w:rsidRPr="00BD59DE">
              <w:rPr>
                <w:rFonts w:ascii="Century Gothic" w:eastAsia="Calibri" w:hAnsi="Century Gothic"/>
                <w:sz w:val="19"/>
                <w:szCs w:val="19"/>
              </w:rPr>
              <w:t>P1, P2 et P3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409E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  <w:tr w:rsidR="003B0EA6" w:rsidRPr="00BB1DDD" w14:paraId="48553646" w14:textId="77777777" w:rsidTr="00DC532B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14:paraId="7AFF1975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780988A" w14:textId="77777777" w:rsidR="003B0EA6" w:rsidRPr="00BD59DE" w:rsidRDefault="003B0EA6" w:rsidP="00114AEE">
            <w:pPr>
              <w:spacing w:after="0" w:line="240" w:lineRule="auto"/>
              <w:contextualSpacing/>
              <w:rPr>
                <w:rFonts w:ascii="Century Gothic" w:eastAsia="Calibri" w:hAnsi="Century Gothic"/>
                <w:sz w:val="19"/>
                <w:szCs w:val="19"/>
              </w:rPr>
            </w:pPr>
            <w:r w:rsidRPr="00BD59DE">
              <w:rPr>
                <w:rFonts w:ascii="Century Gothic" w:eastAsia="Calibri" w:hAnsi="Century Gothic"/>
                <w:sz w:val="19"/>
                <w:szCs w:val="19"/>
              </w:rPr>
              <w:t>Communication sur les lieux de vente de PPP à usage pro ou non-pro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A381" w14:textId="77777777" w:rsidR="003B0EA6" w:rsidRPr="00BD59DE" w:rsidRDefault="003B0EA6" w:rsidP="00114AEE">
            <w:pPr>
              <w:spacing w:after="0" w:line="240" w:lineRule="auto"/>
              <w:rPr>
                <w:rFonts w:ascii="Century Gothic" w:eastAsia="Calibri" w:hAnsi="Century Gothic"/>
                <w:b/>
                <w:sz w:val="19"/>
                <w:szCs w:val="19"/>
              </w:rPr>
            </w:pPr>
          </w:p>
        </w:tc>
      </w:tr>
    </w:tbl>
    <w:p w14:paraId="080FEDEE" w14:textId="77777777" w:rsidR="003B0EA6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lastRenderedPageBreak/>
        <w:t>Description générale du module de formation en français (programme complet en annexe de ce formulaire</w:t>
      </w:r>
      <w:r>
        <w:rPr>
          <w:rFonts w:ascii="Century Gothic" w:hAnsi="Century Gothic"/>
          <w:sz w:val="22"/>
        </w:rPr>
        <w:t>, au besoin</w:t>
      </w:r>
      <w:r w:rsidRPr="00BB1DDD">
        <w:rPr>
          <w:rFonts w:ascii="Century Gothic" w:hAnsi="Century Gothic"/>
          <w:sz w:val="22"/>
        </w:rPr>
        <w:t>)</w:t>
      </w:r>
    </w:p>
    <w:p w14:paraId="381CC8C7" w14:textId="77777777" w:rsidR="003B0EA6" w:rsidRPr="00477D4C" w:rsidRDefault="003B0EA6" w:rsidP="003B0EA6">
      <w:pPr>
        <w:ind w:left="360"/>
        <w:jc w:val="both"/>
        <w:rPr>
          <w:rFonts w:ascii="Century Gothic" w:hAnsi="Century Gothic"/>
          <w:sz w:val="20"/>
        </w:rPr>
      </w:pPr>
    </w:p>
    <w:p w14:paraId="434F5089" w14:textId="77777777" w:rsidR="003B0EA6" w:rsidRPr="001E5DEA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1E5DEA">
        <w:rPr>
          <w:rFonts w:ascii="Century Gothic" w:hAnsi="Century Gothic"/>
          <w:sz w:val="22"/>
        </w:rPr>
        <w:t>Durée totale de la formation en heures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54D1743B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 xml:space="preserve">Prix de la formation (en </w:t>
      </w:r>
      <w:r>
        <w:rPr>
          <w:rFonts w:ascii="Century Gothic" w:hAnsi="Century Gothic"/>
          <w:sz w:val="22"/>
        </w:rPr>
        <w:t>€</w:t>
      </w:r>
      <w:r w:rsidRPr="00BB1DDD">
        <w:rPr>
          <w:rFonts w:ascii="Century Gothic" w:hAnsi="Century Gothic"/>
          <w:sz w:val="22"/>
        </w:rPr>
        <w:t>/personne)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</w:p>
    <w:p w14:paraId="0264DAD2" w14:textId="77777777" w:rsidR="003B0EA6" w:rsidRPr="00BB1DDD" w:rsidRDefault="003B0EA6" w:rsidP="003B0EA6">
      <w:pPr>
        <w:pStyle w:val="Titre1"/>
        <w:numPr>
          <w:ilvl w:val="0"/>
          <w:numId w:val="1"/>
        </w:numPr>
        <w:spacing w:before="240" w:beforeAutospacing="0" w:after="120" w:afterAutospacing="0"/>
        <w:ind w:left="714" w:hanging="357"/>
        <w:jc w:val="both"/>
        <w:rPr>
          <w:rFonts w:ascii="Century Gothic" w:hAnsi="Century Gothic"/>
          <w:sz w:val="22"/>
        </w:rPr>
      </w:pPr>
      <w:r w:rsidRPr="00BB1DDD">
        <w:rPr>
          <w:rFonts w:ascii="Century Gothic" w:hAnsi="Century Gothic"/>
          <w:sz w:val="22"/>
        </w:rPr>
        <w:t>Subventionnement :</w:t>
      </w:r>
      <w:r w:rsidRPr="00290896">
        <w:rPr>
          <w:rFonts w:ascii="Century Gothic" w:hAnsi="Century Gothic"/>
          <w:b w:val="0"/>
          <w:bCs w:val="0"/>
          <w:sz w:val="20"/>
          <w:szCs w:val="20"/>
        </w:rPr>
        <w:t xml:space="preserve">  </w:t>
      </w:r>
    </w:p>
    <w:p w14:paraId="722B6687" w14:textId="77777777" w:rsidR="003B0EA6" w:rsidRPr="00BB1DDD" w:rsidRDefault="003B0EA6" w:rsidP="003B0EA6">
      <w:pPr>
        <w:ind w:left="360"/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La formation est-elle subventionnée par la Région wallonne, la Fédération Wallonie-Bruxelles ou par un organisme d’intérêt public régi par la loi du 16 mars 1954 relative au contrôle de certains organismes d’intérêt public ?  OUI / NON (biffer la mention inutile)</w:t>
      </w:r>
    </w:p>
    <w:p w14:paraId="06094AC0" w14:textId="77777777" w:rsidR="003B0EA6" w:rsidRPr="00BB1DDD" w:rsidRDefault="003B0EA6" w:rsidP="003B0EA6">
      <w:pPr>
        <w:jc w:val="both"/>
        <w:rPr>
          <w:rFonts w:ascii="Century Gothic" w:hAnsi="Century Gothic"/>
          <w:sz w:val="20"/>
        </w:rPr>
      </w:pPr>
    </w:p>
    <w:p w14:paraId="2D855BFA" w14:textId="77777777" w:rsidR="003B0EA6" w:rsidRPr="00B904E7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Cs w:val="24"/>
        </w:rPr>
      </w:pPr>
      <w:r w:rsidRPr="00B904E7">
        <w:rPr>
          <w:rFonts w:ascii="Century Gothic" w:hAnsi="Century Gothic"/>
          <w:b/>
          <w:szCs w:val="24"/>
        </w:rPr>
        <w:t>Cadre réservé à l’Administration</w:t>
      </w:r>
    </w:p>
    <w:p w14:paraId="70265072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Module de formation accepté / refusé (biffer la mention inutile)</w:t>
      </w:r>
    </w:p>
    <w:p w14:paraId="08E92253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 xml:space="preserve">Date de validité de l’agrément : </w:t>
      </w:r>
      <w:proofErr w:type="spellStart"/>
      <w:proofErr w:type="gramStart"/>
      <w:r w:rsidRPr="00BB1DDD">
        <w:rPr>
          <w:rFonts w:ascii="Century Gothic" w:hAnsi="Century Gothic"/>
          <w:sz w:val="20"/>
        </w:rPr>
        <w:t>du</w:t>
      </w:r>
      <w:proofErr w:type="spellEnd"/>
      <w:r>
        <w:rPr>
          <w:rFonts w:ascii="Century Gothic" w:hAnsi="Century Gothic"/>
          <w:sz w:val="20"/>
        </w:rPr>
        <w:t xml:space="preserve">  </w:t>
      </w:r>
      <w:r w:rsidRPr="00BB1DDD">
        <w:rPr>
          <w:rFonts w:ascii="Century Gothic" w:hAnsi="Century Gothic"/>
          <w:sz w:val="20"/>
        </w:rPr>
        <w:t>au</w:t>
      </w:r>
      <w:proofErr w:type="gramEnd"/>
      <w:r>
        <w:rPr>
          <w:rFonts w:ascii="Century Gothic" w:hAnsi="Century Gothic"/>
          <w:sz w:val="20"/>
        </w:rPr>
        <w:t xml:space="preserve"> </w:t>
      </w:r>
    </w:p>
    <w:p w14:paraId="72D675D5" w14:textId="77777777" w:rsidR="003B0EA6" w:rsidRPr="00BB1DDD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Date et signature :</w:t>
      </w:r>
      <w:r>
        <w:rPr>
          <w:rFonts w:ascii="Century Gothic" w:hAnsi="Century Gothic"/>
          <w:sz w:val="20"/>
        </w:rPr>
        <w:t xml:space="preserve"> </w:t>
      </w:r>
    </w:p>
    <w:p w14:paraId="2873689D" w14:textId="3C214CD9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  <w:r w:rsidRPr="00BB1DDD">
        <w:rPr>
          <w:rFonts w:ascii="Century Gothic" w:hAnsi="Century Gothic"/>
          <w:sz w:val="20"/>
        </w:rPr>
        <w:t>Visa CIAE</w:t>
      </w:r>
      <w:r w:rsidR="009A7370">
        <w:rPr>
          <w:rFonts w:ascii="Century Gothic" w:hAnsi="Century Gothic"/>
          <w:sz w:val="20"/>
        </w:rPr>
        <w:t xml:space="preserve"> et adaptation(s) nécessaire(s) avant la première formation</w:t>
      </w:r>
      <w:r w:rsidRPr="00BB1DDD">
        <w:rPr>
          <w:rFonts w:ascii="Century Gothic" w:hAnsi="Century Gothic"/>
          <w:sz w:val="20"/>
        </w:rPr>
        <w:t> :</w:t>
      </w:r>
      <w:r>
        <w:rPr>
          <w:rFonts w:ascii="Century Gothic" w:hAnsi="Century Gothic"/>
          <w:sz w:val="20"/>
        </w:rPr>
        <w:t xml:space="preserve"> </w:t>
      </w:r>
    </w:p>
    <w:p w14:paraId="6E8108CD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</w:rPr>
      </w:pPr>
    </w:p>
    <w:p w14:paraId="75D1FBB1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</w:t>
      </w:r>
    </w:p>
    <w:p w14:paraId="13B1B0EF" w14:textId="77777777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p w14:paraId="22DD8F93" w14:textId="77777777" w:rsidR="003B0EA6" w:rsidRPr="00704253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704253">
        <w:rPr>
          <w:rFonts w:ascii="Century Gothic" w:hAnsi="Century Gothic"/>
          <w:sz w:val="20"/>
        </w:rPr>
        <w:t>Bénédicte HEINDRICHS,</w:t>
      </w:r>
    </w:p>
    <w:p w14:paraId="28D9D092" w14:textId="6CB624B0" w:rsidR="003B0EA6" w:rsidRDefault="003B0EA6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  <w:r w:rsidRPr="00704253">
        <w:rPr>
          <w:rFonts w:ascii="Century Gothic" w:hAnsi="Century Gothic"/>
          <w:sz w:val="20"/>
        </w:rPr>
        <w:t xml:space="preserve">                                                                                                    Directrice général</w:t>
      </w:r>
      <w:r w:rsidRPr="004664AA">
        <w:rPr>
          <w:rFonts w:ascii="Century Gothic" w:hAnsi="Century Gothic"/>
          <w:sz w:val="20"/>
        </w:rPr>
        <w:t>e</w:t>
      </w:r>
    </w:p>
    <w:p w14:paraId="22AA599E" w14:textId="77777777" w:rsidR="000879EE" w:rsidRPr="004664AA" w:rsidRDefault="000879EE" w:rsidP="003B0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spacing w:after="0" w:line="240" w:lineRule="auto"/>
        <w:ind w:firstLine="708"/>
        <w:jc w:val="center"/>
        <w:rPr>
          <w:rFonts w:ascii="Century Gothic" w:hAnsi="Century Gothic"/>
          <w:sz w:val="20"/>
        </w:rPr>
      </w:pPr>
    </w:p>
    <w:tbl>
      <w:tblPr>
        <w:tblpPr w:leftFromText="141" w:rightFromText="141" w:vertAnchor="text" w:horzAnchor="margin" w:tblpY="351"/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"/>
        <w:gridCol w:w="2517"/>
        <w:gridCol w:w="180"/>
        <w:gridCol w:w="2891"/>
        <w:gridCol w:w="180"/>
        <w:gridCol w:w="2721"/>
        <w:gridCol w:w="6"/>
      </w:tblGrid>
      <w:tr w:rsidR="00C216CE" w14:paraId="44B9A34A" w14:textId="77777777" w:rsidTr="00C216CE">
        <w:trPr>
          <w:gridAfter w:val="1"/>
          <w:wAfter w:w="6" w:type="dxa"/>
        </w:trPr>
        <w:tc>
          <w:tcPr>
            <w:tcW w:w="694" w:type="dxa"/>
          </w:tcPr>
          <w:p w14:paraId="1EC867D1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bookmarkStart w:id="0" w:name="_Hlk63272855"/>
            <w:r w:rsidRPr="00E8650F">
              <w:rPr>
                <w:rFonts w:ascii="Century Gothic" w:hAnsi="Century Gothic" w:cs="CenturyGothic-Bold"/>
                <w:b/>
                <w:caps/>
                <w:noProof/>
                <w:sz w:val="18"/>
                <w:szCs w:val="18"/>
              </w:rPr>
              <w:drawing>
                <wp:inline distT="0" distB="0" distL="0" distR="0" wp14:anchorId="197E7C81" wp14:editId="247B2340">
                  <wp:extent cx="289560" cy="289560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</w:tcPr>
          <w:p w14:paraId="09438011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7D94B60F" w14:textId="77777777" w:rsidR="00C216CE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D194BE5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5E816023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Intégration Agriculture</w:t>
            </w:r>
            <w:r>
              <w:rPr>
                <w:rFonts w:ascii="Century Gothic" w:hAnsi="Century Gothic" w:cs="CenturyGothic"/>
                <w:sz w:val="16"/>
                <w:szCs w:val="16"/>
              </w:rPr>
              <w:noBreakHyphen/>
              <w:t>Environnement</w:t>
            </w:r>
          </w:p>
          <w:p w14:paraId="245217A7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7C621B96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5AC932FD" w14:textId="77777777" w:rsidR="00C216CE" w:rsidRDefault="00C216CE" w:rsidP="00C216CE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Fax : 081 33 63 22</w:t>
            </w:r>
          </w:p>
          <w:p w14:paraId="73B60A85" w14:textId="77777777" w:rsidR="00C216CE" w:rsidRDefault="00C216CE" w:rsidP="00C216CE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9BE7EC3" w14:textId="77777777" w:rsidR="00C216CE" w:rsidRDefault="00C216CE" w:rsidP="00C216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0C11CECB" w14:textId="77777777" w:rsidR="00C216CE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236EDF5" w14:textId="77777777" w:rsidR="00C216CE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Denis GODEAUX</w:t>
            </w:r>
          </w:p>
          <w:p w14:paraId="305389ED" w14:textId="77777777" w:rsidR="00C216CE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 63 89</w:t>
            </w:r>
          </w:p>
          <w:p w14:paraId="0FDF0C3D" w14:textId="77777777" w:rsidR="00C216CE" w:rsidRPr="00D17F54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  <w:lang w:val="en-GB"/>
              </w:rPr>
            </w:pPr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Mob</w:t>
            </w:r>
            <w:proofErr w:type="gramStart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>. :</w:t>
            </w:r>
            <w:proofErr w:type="gramEnd"/>
            <w:r w:rsidRPr="00D17F54">
              <w:rPr>
                <w:rFonts w:ascii="Century Gothic" w:hAnsi="Century Gothic" w:cs="CenturyGothic"/>
                <w:sz w:val="16"/>
                <w:szCs w:val="16"/>
                <w:lang w:val="en-GB"/>
              </w:rPr>
              <w:t xml:space="preserve"> 0479 67 15 31</w:t>
            </w:r>
          </w:p>
          <w:p w14:paraId="7AE52A0B" w14:textId="77777777" w:rsidR="00C216CE" w:rsidRPr="00D17F54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hyperlink r:id="rId10" w:history="1">
              <w:r w:rsidRPr="00035732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denis.godeaux</w:t>
              </w:r>
              <w:r w:rsidRPr="00D17F54">
                <w:rPr>
                  <w:rStyle w:val="Lienhypertexte"/>
                  <w:rFonts w:ascii="Century Gothic" w:hAnsi="Century Gothic"/>
                  <w:sz w:val="16"/>
                  <w:szCs w:val="16"/>
                  <w:lang w:val="en-GB"/>
                </w:rPr>
                <w:t>@spw.wallonie.be</w:t>
              </w:r>
            </w:hyperlink>
          </w:p>
          <w:p w14:paraId="448AD671" w14:textId="77777777" w:rsidR="00C216CE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D517D00" w14:textId="77777777" w:rsidR="00C216CE" w:rsidRDefault="00C216CE" w:rsidP="00C216CE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A353B92" w14:textId="77777777" w:rsidR="00C216CE" w:rsidRPr="00DA1B4C" w:rsidRDefault="00C216CE" w:rsidP="00C216CE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 w:rsidRPr="00DA1B4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73B3052" w14:textId="77777777" w:rsidR="00C216CE" w:rsidRPr="00DA1B4C" w:rsidRDefault="00C216CE" w:rsidP="00C216CE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A1B4C">
              <w:rPr>
                <w:rFonts w:ascii="Century Gothic" w:hAnsi="Century Gothic" w:cs="CenturyGothic"/>
                <w:sz w:val="16"/>
                <w:szCs w:val="16"/>
              </w:rPr>
              <w:t>Courriel du</w:t>
            </w:r>
          </w:p>
        </w:tc>
      </w:tr>
      <w:tr w:rsidR="00C216CE" w:rsidRPr="00F55077" w14:paraId="2C2B7043" w14:textId="77777777" w:rsidTr="00C216CE">
        <w:trPr>
          <w:gridBefore w:val="2"/>
          <w:wBefore w:w="880" w:type="dxa"/>
          <w:trHeight w:val="560"/>
        </w:trPr>
        <w:tc>
          <w:tcPr>
            <w:tcW w:w="8495" w:type="dxa"/>
            <w:gridSpan w:val="6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0BA1E22" w14:textId="77777777" w:rsidR="00C216CE" w:rsidRPr="00F55077" w:rsidRDefault="00C216CE" w:rsidP="00C216CE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F55077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1F22C66F" w14:textId="77777777" w:rsidR="00C216CE" w:rsidRDefault="00C216CE" w:rsidP="00C216CE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Arrêté royal du 19 mars 2013 pour parvenir à une utilisation des produits phytopharmaceutiques et adjuvants compatible avec le développement durable.</w:t>
            </w:r>
          </w:p>
          <w:p w14:paraId="14236020" w14:textId="77777777" w:rsidR="00C216CE" w:rsidRPr="00A25978" w:rsidRDefault="00C216CE" w:rsidP="00C216CE">
            <w:pPr>
              <w:pStyle w:val="Normale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F55077">
              <w:rPr>
                <w:rFonts w:ascii="Century Gothic" w:hAnsi="Century Gothic"/>
                <w:sz w:val="16"/>
                <w:szCs w:val="16"/>
              </w:rPr>
              <w:t xml:space="preserve">Arrêté ministériel du 24 mai 2016 </w:t>
            </w:r>
            <w:r w:rsidRPr="00F8023A">
              <w:rPr>
                <w:rFonts w:ascii="Century Gothic" w:hAnsi="Century Gothic"/>
                <w:sz w:val="16"/>
                <w:szCs w:val="16"/>
              </w:rPr>
              <w:t xml:space="preserve">exécutant l’arrêté du Gouvernement wallon du 28 avril 2016 </w:t>
            </w:r>
            <w:r w:rsidRPr="00F55077">
              <w:rPr>
                <w:rFonts w:ascii="Century Gothic" w:hAnsi="Century Gothic"/>
                <w:sz w:val="16"/>
                <w:szCs w:val="16"/>
              </w:rPr>
              <w:t>relatif à la formation initiale et continue et à l’évaluation des connaissances nécessaires pour l’obtention et le renouvellement d’une phytolicence.</w:t>
            </w:r>
          </w:p>
        </w:tc>
      </w:tr>
      <w:bookmarkEnd w:id="0"/>
    </w:tbl>
    <w:p w14:paraId="2F55B2EA" w14:textId="77777777" w:rsidR="003B0EA6" w:rsidRDefault="003B0EA6" w:rsidP="003B0EA6">
      <w:pPr>
        <w:spacing w:after="160" w:line="259" w:lineRule="auto"/>
        <w:ind w:right="-141"/>
        <w:rPr>
          <w:rFonts w:ascii="Century Gothic" w:eastAsia="Calibri" w:hAnsi="Century Gothic"/>
          <w:sz w:val="20"/>
        </w:rPr>
      </w:pPr>
    </w:p>
    <w:p w14:paraId="4E0C54E0" w14:textId="77777777" w:rsidR="003B0EA6" w:rsidRDefault="003B0EA6" w:rsidP="003B0EA6">
      <w:pPr>
        <w:pStyle w:val="Paragraphestandard"/>
        <w:spacing w:line="276" w:lineRule="auto"/>
        <w:rPr>
          <w:rFonts w:ascii="Century Gothic" w:hAnsi="Century Gothic" w:cs="CenturyGothic"/>
          <w:sz w:val="21"/>
          <w:szCs w:val="21"/>
        </w:rPr>
      </w:pPr>
    </w:p>
    <w:p w14:paraId="6CF8DD7A" w14:textId="77777777" w:rsidR="003B0EA6" w:rsidRDefault="003B0EA6" w:rsidP="00C216CE">
      <w:pPr>
        <w:ind w:left="851"/>
        <w:jc w:val="both"/>
        <w:rPr>
          <w:rFonts w:ascii="Century Gothic" w:hAnsi="Century Gothic" w:cs="Arial"/>
          <w:color w:val="0070C0"/>
          <w:sz w:val="18"/>
          <w:szCs w:val="18"/>
          <w:shd w:val="clear" w:color="auto" w:fill="FFFFFF"/>
        </w:rPr>
      </w:pPr>
      <w:r w:rsidRPr="00A04542">
        <w:rPr>
          <w:rFonts w:ascii="Century Gothic" w:hAnsi="Century Gothic" w:cs="Calibri"/>
          <w:color w:val="000000"/>
          <w:sz w:val="18"/>
          <w:szCs w:val="18"/>
        </w:rPr>
        <w:t>Pour toute réclamation portant sur</w:t>
      </w:r>
      <w:r w:rsidRPr="00A04542">
        <w:rPr>
          <w:rFonts w:ascii="Century Gothic" w:hAnsi="Century Gothic" w:cs="Calibri"/>
          <w:color w:val="000000"/>
          <w:sz w:val="18"/>
          <w:szCs w:val="18"/>
          <w:shd w:val="clear" w:color="auto" w:fill="FFFFFF"/>
        </w:rPr>
        <w:t> la qualité de nos services, veuillez introduire une plainte :</w:t>
      </w:r>
      <w:r w:rsidRPr="00CC5360">
        <w:rPr>
          <w:rFonts w:ascii="Century Gothic" w:hAnsi="Century Gothic"/>
          <w:sz w:val="18"/>
          <w:szCs w:val="18"/>
        </w:rPr>
        <w:t xml:space="preserve"> </w:t>
      </w:r>
      <w:hyperlink r:id="rId11" w:history="1">
        <w:r w:rsidRPr="00E76542">
          <w:rPr>
            <w:rStyle w:val="Lienhypertexte"/>
            <w:rFonts w:ascii="Century Gothic" w:hAnsi="Century Gothic" w:cs="Arial"/>
            <w:sz w:val="18"/>
            <w:szCs w:val="18"/>
            <w:shd w:val="clear" w:color="auto" w:fill="FFFFFF"/>
          </w:rPr>
          <w:t>http://www.wallonie.be/fr/introduire-une-plainte-spw</w:t>
        </w:r>
      </w:hyperlink>
      <w:r w:rsidRPr="00E76542">
        <w:rPr>
          <w:rFonts w:ascii="Century Gothic" w:hAnsi="Century Gothic" w:cs="Arial"/>
          <w:sz w:val="18"/>
          <w:szCs w:val="18"/>
          <w:shd w:val="clear" w:color="auto" w:fill="FFFFFF"/>
        </w:rPr>
        <w:t>.</w:t>
      </w:r>
    </w:p>
    <w:p w14:paraId="63365760" w14:textId="7121106C" w:rsidR="00A8012B" w:rsidRPr="00C216CE" w:rsidRDefault="00C216CE" w:rsidP="00C216CE">
      <w:pPr>
        <w:ind w:left="851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P</w:t>
      </w:r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our toute réclamation ou signalement d'une irrégularité concernant nos services, le Médiateur est à votre écoute : Rue Lucien </w:t>
      </w:r>
      <w:proofErr w:type="spellStart"/>
      <w:r w:rsidRPr="00310196">
        <w:rPr>
          <w:rFonts w:ascii="Century Gothic" w:hAnsi="Century Gothic" w:cs="Calibri"/>
          <w:color w:val="000000"/>
          <w:sz w:val="18"/>
          <w:szCs w:val="18"/>
        </w:rPr>
        <w:t>Namêche</w:t>
      </w:r>
      <w:proofErr w:type="spellEnd"/>
      <w:r w:rsidRPr="00310196">
        <w:rPr>
          <w:rFonts w:ascii="Century Gothic" w:hAnsi="Century Gothic" w:cs="Calibri"/>
          <w:color w:val="000000"/>
          <w:sz w:val="18"/>
          <w:szCs w:val="18"/>
        </w:rPr>
        <w:t xml:space="preserve"> 54 à 5000 Namur ou, sur rendez-vous, dans l’une des permanences qu’il organise près de chez vous : 0800 19 199 • </w:t>
      </w:r>
      <w:hyperlink r:id="rId12" w:tooltip="mailto:courrier@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courrier@le-mediateur.be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 • </w:t>
      </w:r>
      <w:hyperlink r:id="rId13" w:tgtFrame="_blank" w:tooltip="http://www.le-mediateur.be" w:history="1">
        <w:r w:rsidRPr="00310196">
          <w:rPr>
            <w:rStyle w:val="Lienhypertexte"/>
            <w:rFonts w:ascii="Century Gothic" w:hAnsi="Century Gothic" w:cs="Calibri"/>
            <w:sz w:val="18"/>
            <w:szCs w:val="18"/>
          </w:rPr>
          <w:t>www.le-mediateur.be</w:t>
        </w:r>
      </w:hyperlink>
      <w:r w:rsidRPr="00310196">
        <w:rPr>
          <w:rFonts w:ascii="Century Gothic" w:hAnsi="Century Gothic" w:cs="Calibri"/>
          <w:color w:val="000000"/>
          <w:sz w:val="18"/>
          <w:szCs w:val="18"/>
        </w:rPr>
        <w:t>.</w:t>
      </w:r>
    </w:p>
    <w:sectPr w:rsidR="00A8012B" w:rsidRPr="00C216CE" w:rsidSect="00A437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E429" w14:textId="77777777" w:rsidR="001253BC" w:rsidRDefault="001253BC" w:rsidP="003B0EA6">
      <w:pPr>
        <w:spacing w:after="0" w:line="240" w:lineRule="auto"/>
      </w:pPr>
      <w:r>
        <w:separator/>
      </w:r>
    </w:p>
  </w:endnote>
  <w:endnote w:type="continuationSeparator" w:id="0">
    <w:p w14:paraId="3C28DC25" w14:textId="77777777" w:rsidR="001253BC" w:rsidRDefault="001253BC" w:rsidP="003B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2619" w14:textId="0A990A29" w:rsidR="003B0EA6" w:rsidRDefault="003B0EA6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E43D5F" wp14:editId="606E82B3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F74C3" id="Rectangle 5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7128B4B" w14:textId="2C278769" w:rsidR="003B0EA6" w:rsidRPr="003B0EA6" w:rsidRDefault="003B0EA6" w:rsidP="003B0EA6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6839" w14:textId="77777777" w:rsidR="002E200F" w:rsidRDefault="002E200F" w:rsidP="00A4370A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0DB5E9" wp14:editId="3208730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BCB8A" id="Rectangle 16" o:spid="_x0000_s1026" style="position:absolute;margin-left:31.85pt;margin-top:817.05pt;width:47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BTvXtr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  <w:p w14:paraId="0981F9F9" w14:textId="155CD9E7" w:rsidR="002E200F" w:rsidRPr="002E200F" w:rsidRDefault="002E200F" w:rsidP="002E200F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923EDC">
      <w:rPr>
        <w:rFonts w:ascii="Arial" w:hAnsi="Arial" w:cs="Arial"/>
        <w:b/>
        <w:bCs/>
        <w:color w:val="84BF41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2007" w14:textId="77777777" w:rsidR="001253BC" w:rsidRDefault="001253BC" w:rsidP="003B0EA6">
      <w:pPr>
        <w:spacing w:after="0" w:line="240" w:lineRule="auto"/>
      </w:pPr>
      <w:r>
        <w:separator/>
      </w:r>
    </w:p>
  </w:footnote>
  <w:footnote w:type="continuationSeparator" w:id="0">
    <w:p w14:paraId="65FE7294" w14:textId="77777777" w:rsidR="001253BC" w:rsidRDefault="001253BC" w:rsidP="003B0EA6">
      <w:pPr>
        <w:spacing w:after="0" w:line="240" w:lineRule="auto"/>
      </w:pPr>
      <w:r>
        <w:continuationSeparator/>
      </w:r>
    </w:p>
  </w:footnote>
  <w:footnote w:id="1">
    <w:p w14:paraId="7A28AD11" w14:textId="77777777" w:rsidR="003B0EA6" w:rsidRPr="00135715" w:rsidRDefault="003B0EA6" w:rsidP="003B0EA6">
      <w:pPr>
        <w:pStyle w:val="Notedebasdepage"/>
      </w:pPr>
      <w:r>
        <w:rPr>
          <w:rStyle w:val="Appelnotedebasdep"/>
        </w:rPr>
        <w:footnoteRef/>
      </w:r>
      <w:r>
        <w:t xml:space="preserve"> Mettre en évidence la ou les mentions utiles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606" w14:textId="180CC903" w:rsidR="003B0EA6" w:rsidRDefault="003B0EA6">
    <w:pPr>
      <w:pStyle w:val="En-tte"/>
    </w:pPr>
  </w:p>
  <w:p w14:paraId="61950BB5" w14:textId="0686EF8A" w:rsidR="003B0EA6" w:rsidRPr="003B0EA6" w:rsidRDefault="002E200F" w:rsidP="002E200F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="003B0EA6"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08D31A" wp14:editId="7383C86B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AAF3" w14:textId="77777777" w:rsidR="003B0EA6" w:rsidRDefault="00B7501F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"http://www.wallonie.be" </w:instrText>
                          </w:r>
                          <w:r>
                            <w:fldChar w:fldCharType="separate"/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www.</w:t>
                          </w:r>
                          <w:r w:rsidR="003B0EA6" w:rsidRPr="00865AF9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lang w:val="fr-FR" w:eastAsia="fr-FR"/>
                            </w:rPr>
                            <w:t>Wallonie</w:t>
                          </w:r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="003B0EA6"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be</w:t>
                          </w:r>
                          <w:proofErr w:type="spellEnd"/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0021ADF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2BCDBAC0" w14:textId="77777777" w:rsidR="003B0EA6" w:rsidRDefault="003B0EA6" w:rsidP="003B0EA6"/>
                        <w:p w14:paraId="0E821425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D31A" id="Rectangle 1" o:spid="_x0000_s1026" style="position:absolute;left:0;text-align:left;margin-left:-59.15pt;margin-top:388.45pt;width:167.3pt;height:28.85pt;rotation:90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" stroked="f">
              <v:textbox style="layout-flow:vertical;mso-layout-flow-alt:bottom-to-top">
                <w:txbxContent>
                  <w:p w14:paraId="7543AAF3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"http://www.wallonie.be" </w:instrText>
                    </w:r>
                    <w:r>
                      <w:fldChar w:fldCharType="separate"/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www.</w:t>
                    </w:r>
                    <w:r w:rsidRPr="00865AF9"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lang w:val="fr-FR" w:eastAsia="fr-FR"/>
                      </w:rPr>
                      <w:t>Wallonie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be</w:t>
                    </w:r>
                    <w:proofErr w:type="spellEnd"/>
                    <w:r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  <w:u w:val="none"/>
                      </w:rPr>
                      <w:fldChar w:fldCharType="end"/>
                    </w:r>
                  </w:p>
                  <w:p w14:paraId="40021ADF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2BCDBAC0" w14:textId="77777777" w:rsidR="003B0EA6" w:rsidRDefault="003B0EA6" w:rsidP="003B0EA6"/>
                  <w:p w14:paraId="0E821425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9C45" w14:textId="77777777" w:rsidR="00BF707C" w:rsidRDefault="00BF707C" w:rsidP="003B0EA6">
    <w:pPr>
      <w:pStyle w:val="En-tte"/>
    </w:pPr>
  </w:p>
  <w:p w14:paraId="2E5643B5" w14:textId="77777777" w:rsidR="00BF707C" w:rsidRDefault="00BF707C" w:rsidP="003B0EA6">
    <w:pPr>
      <w:pStyle w:val="En-tte"/>
    </w:pPr>
  </w:p>
  <w:p w14:paraId="03DEB7F5" w14:textId="1DC1C95A" w:rsidR="003B0EA6" w:rsidRDefault="003B0EA6" w:rsidP="003B0EA6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A6F4844" wp14:editId="52753FAC">
          <wp:simplePos x="0" y="0"/>
          <wp:positionH relativeFrom="column">
            <wp:posOffset>5735760</wp:posOffset>
          </wp:positionH>
          <wp:positionV relativeFrom="paragraph">
            <wp:posOffset>-389890</wp:posOffset>
          </wp:positionV>
          <wp:extent cx="527050" cy="686435"/>
          <wp:effectExtent l="0" t="0" r="6350" b="0"/>
          <wp:wrapTight wrapText="bothSides">
            <wp:wrapPolygon edited="0">
              <wp:start x="0" y="0"/>
              <wp:lineTo x="0" y="20981"/>
              <wp:lineTo x="21080" y="20981"/>
              <wp:lineTo x="21080" y="0"/>
              <wp:lineTo x="0" y="0"/>
            </wp:wrapPolygon>
          </wp:wrapTight>
          <wp:docPr id="4" name="Image 4" descr="pwrp_n°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pwrp_n°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86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CDE05B0" wp14:editId="2BEE35FA">
          <wp:simplePos x="0" y="0"/>
          <wp:positionH relativeFrom="column">
            <wp:posOffset>-1172</wp:posOffset>
          </wp:positionH>
          <wp:positionV relativeFrom="paragraph">
            <wp:posOffset>-387985</wp:posOffset>
          </wp:positionV>
          <wp:extent cx="2184400" cy="742315"/>
          <wp:effectExtent l="0" t="0" r="6350" b="635"/>
          <wp:wrapTight wrapText="bothSides">
            <wp:wrapPolygon edited="0">
              <wp:start x="1130" y="0"/>
              <wp:lineTo x="377" y="3880"/>
              <wp:lineTo x="0" y="8869"/>
              <wp:lineTo x="0" y="11641"/>
              <wp:lineTo x="4521" y="17738"/>
              <wp:lineTo x="4898" y="21064"/>
              <wp:lineTo x="10737" y="21064"/>
              <wp:lineTo x="11114" y="17738"/>
              <wp:lineTo x="21474" y="13304"/>
              <wp:lineTo x="21474" y="4435"/>
              <wp:lineTo x="12998" y="0"/>
              <wp:lineTo x="4333" y="0"/>
              <wp:lineTo x="1130" y="0"/>
            </wp:wrapPolygon>
          </wp:wrapTight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3EBC7" w14:textId="77777777" w:rsidR="003B0EA6" w:rsidRDefault="003B0EA6" w:rsidP="003B0EA6">
    <w:pPr>
      <w:pStyle w:val="En-tte"/>
    </w:pPr>
  </w:p>
  <w:p w14:paraId="73C59C95" w14:textId="1AED3FA1" w:rsidR="003B0EA6" w:rsidRPr="003B0EA6" w:rsidRDefault="003B0EA6" w:rsidP="003B0EA6">
    <w:pPr>
      <w:pStyle w:val="En-tte"/>
      <w:jc w:val="right"/>
      <w:rPr>
        <w:sz w:val="20"/>
        <w:szCs w:val="20"/>
      </w:rPr>
    </w:pPr>
    <w:r w:rsidRPr="003B0EA6">
      <w:rPr>
        <w:rFonts w:ascii="Century Gothic" w:hAnsi="Century Gothic" w:cs="Arial"/>
        <w:sz w:val="14"/>
        <w:szCs w:val="14"/>
      </w:rPr>
      <w:t xml:space="preserve">Page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PAGE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rFonts w:ascii="Century Gothic" w:hAnsi="Century Gothic" w:cs="Arial"/>
        <w:sz w:val="14"/>
        <w:szCs w:val="14"/>
      </w:rPr>
      <w:t xml:space="preserve"> sur </w:t>
    </w:r>
    <w:r w:rsidRPr="003B0EA6">
      <w:rPr>
        <w:rFonts w:ascii="Century Gothic" w:hAnsi="Century Gothic" w:cs="Arial"/>
        <w:sz w:val="14"/>
        <w:szCs w:val="14"/>
      </w:rPr>
      <w:fldChar w:fldCharType="begin"/>
    </w:r>
    <w:r w:rsidRPr="003B0EA6">
      <w:rPr>
        <w:rFonts w:ascii="Century Gothic" w:hAnsi="Century Gothic" w:cs="Arial"/>
        <w:sz w:val="14"/>
        <w:szCs w:val="14"/>
      </w:rPr>
      <w:instrText xml:space="preserve"> NUMPAGES  </w:instrText>
    </w:r>
    <w:r w:rsidRPr="003B0EA6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4</w:t>
    </w:r>
    <w:r w:rsidRPr="003B0EA6">
      <w:rPr>
        <w:rFonts w:ascii="Century Gothic" w:hAnsi="Century Gothic" w:cs="Arial"/>
        <w:sz w:val="14"/>
        <w:szCs w:val="14"/>
      </w:rPr>
      <w:fldChar w:fldCharType="end"/>
    </w:r>
    <w:r w:rsidRPr="003B0EA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CBDD01C" wp14:editId="18E5B005">
              <wp:simplePos x="0" y="0"/>
              <wp:positionH relativeFrom="page">
                <wp:posOffset>-751205</wp:posOffset>
              </wp:positionH>
              <wp:positionV relativeFrom="page">
                <wp:posOffset>4933315</wp:posOffset>
              </wp:positionV>
              <wp:extent cx="2124710" cy="366395"/>
              <wp:effectExtent l="3810" t="0" r="1270" b="2540"/>
              <wp:wrapThrough wrapText="bothSides">
                <wp:wrapPolygon edited="0">
                  <wp:start x="-1136" y="0"/>
                  <wp:lineTo x="-1136" y="21488"/>
                  <wp:lineTo x="21600" y="21488"/>
                  <wp:lineTo x="21600" y="0"/>
                  <wp:lineTo x="-1136" y="0"/>
                </wp:wrapPolygon>
              </wp:wrapThrough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2471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E7BF" w14:textId="77777777" w:rsidR="003B0EA6" w:rsidRDefault="003B0EA6" w:rsidP="003B0EA6">
                          <w:pPr>
                            <w:spacing w:after="0" w:line="240" w:lineRule="auto"/>
                            <w:rPr>
                              <w:rStyle w:val="Lienhypertexte"/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www.</w:t>
                            </w:r>
                            <w:r w:rsidRPr="00865AF9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lang w:val="fr-FR" w:eastAsia="fr-FR"/>
                              </w:rPr>
                              <w:t>Wallonie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</w:hyperlink>
                        </w:p>
                        <w:p w14:paraId="44EE4295" w14:textId="77777777" w:rsidR="003B0EA6" w:rsidRDefault="003B0EA6" w:rsidP="003B0EA6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37D30D1" w14:textId="77777777" w:rsidR="003B0EA6" w:rsidRDefault="003B0EA6" w:rsidP="003B0EA6"/>
                        <w:p w14:paraId="74C66E81" w14:textId="77777777" w:rsidR="003B0EA6" w:rsidRDefault="003B0EA6" w:rsidP="003B0EA6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D01C" id="Rectangle 8" o:spid="_x0000_s1027" style="position:absolute;left:0;text-align:left;margin-left:-59.15pt;margin-top:388.45pt;width:167.3pt;height:28.85pt;rotation:90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" stroked="f">
              <v:textbox style="layout-flow:vertical;mso-layout-flow-alt:bottom-to-top">
                <w:txbxContent>
                  <w:p w14:paraId="0353E7BF" w14:textId="77777777" w:rsidR="003B0EA6" w:rsidRDefault="003B0EA6" w:rsidP="003B0EA6">
                    <w:pPr>
                      <w:spacing w:after="0" w:line="240" w:lineRule="auto"/>
                      <w:rPr>
                        <w:rStyle w:val="Lienhypertexte"/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www.</w:t>
                      </w:r>
                      <w:r w:rsidRPr="00865AF9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lang w:val="fr-FR" w:eastAsia="fr-FR"/>
                        </w:rPr>
                        <w:t>Wallonie</w:t>
                      </w:r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.</w:t>
                      </w:r>
                      <w:proofErr w:type="spellStart"/>
                      <w:r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be</w:t>
                      </w:r>
                      <w:proofErr w:type="spellEnd"/>
                    </w:hyperlink>
                  </w:p>
                  <w:p w14:paraId="44EE4295" w14:textId="77777777" w:rsidR="003B0EA6" w:rsidRDefault="003B0EA6" w:rsidP="003B0EA6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37D30D1" w14:textId="77777777" w:rsidR="003B0EA6" w:rsidRDefault="003B0EA6" w:rsidP="003B0EA6"/>
                  <w:p w14:paraId="74C66E81" w14:textId="77777777" w:rsidR="003B0EA6" w:rsidRDefault="003B0EA6" w:rsidP="003B0EA6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493C"/>
    <w:multiLevelType w:val="hybridMultilevel"/>
    <w:tmpl w:val="F670E5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3BA"/>
    <w:multiLevelType w:val="hybridMultilevel"/>
    <w:tmpl w:val="0E40189C"/>
    <w:lvl w:ilvl="0" w:tplc="ACC21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B4B"/>
    <w:multiLevelType w:val="hybridMultilevel"/>
    <w:tmpl w:val="5EF40C94"/>
    <w:lvl w:ilvl="0" w:tplc="DF78AB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0122"/>
    <w:multiLevelType w:val="hybridMultilevel"/>
    <w:tmpl w:val="73AA9E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56770">
    <w:abstractNumId w:val="3"/>
  </w:num>
  <w:num w:numId="2" w16cid:durableId="28724584">
    <w:abstractNumId w:val="1"/>
  </w:num>
  <w:num w:numId="3" w16cid:durableId="416558207">
    <w:abstractNumId w:val="2"/>
  </w:num>
  <w:num w:numId="4" w16cid:durableId="17439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A6"/>
    <w:rsid w:val="000879EE"/>
    <w:rsid w:val="001253BC"/>
    <w:rsid w:val="002E200F"/>
    <w:rsid w:val="003B0EA6"/>
    <w:rsid w:val="00411F4B"/>
    <w:rsid w:val="0043137F"/>
    <w:rsid w:val="004536C9"/>
    <w:rsid w:val="007C7915"/>
    <w:rsid w:val="009562AB"/>
    <w:rsid w:val="009A7370"/>
    <w:rsid w:val="009C65D8"/>
    <w:rsid w:val="00A4370A"/>
    <w:rsid w:val="00A8012B"/>
    <w:rsid w:val="00B7501F"/>
    <w:rsid w:val="00BE244D"/>
    <w:rsid w:val="00BF707C"/>
    <w:rsid w:val="00C216CE"/>
    <w:rsid w:val="00CC0CCE"/>
    <w:rsid w:val="00DC532B"/>
    <w:rsid w:val="00E17FB4"/>
    <w:rsid w:val="00EE0A51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0010"/>
  <w15:chartTrackingRefBased/>
  <w15:docId w15:val="{B63D1BA2-F698-4432-92EC-DE1DF35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6"/>
    <w:pPr>
      <w:spacing w:after="200" w:line="276" w:lineRule="auto"/>
    </w:pPr>
    <w:rPr>
      <w:rFonts w:ascii="Calibri" w:eastAsia="Times New Roman" w:hAnsi="Calibri" w:cs="Times New Roman"/>
      <w:lang w:val="fr-BE" w:eastAsia="fr-BE"/>
    </w:rPr>
  </w:style>
  <w:style w:type="paragraph" w:styleId="Titre1">
    <w:name w:val="heading 1"/>
    <w:basedOn w:val="Normal"/>
    <w:link w:val="Titre1Car"/>
    <w:uiPriority w:val="9"/>
    <w:qFormat/>
    <w:rsid w:val="003B0E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E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EA6"/>
  </w:style>
  <w:style w:type="paragraph" w:styleId="Pieddepage">
    <w:name w:val="footer"/>
    <w:basedOn w:val="Normal"/>
    <w:link w:val="PieddepageCar"/>
    <w:uiPriority w:val="99"/>
    <w:unhideWhenUsed/>
    <w:rsid w:val="003B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EA6"/>
  </w:style>
  <w:style w:type="character" w:customStyle="1" w:styleId="Titre1Car">
    <w:name w:val="Titre 1 Car"/>
    <w:basedOn w:val="Policepardfaut"/>
    <w:link w:val="Titre1"/>
    <w:uiPriority w:val="9"/>
    <w:rsid w:val="003B0EA6"/>
    <w:rPr>
      <w:rFonts w:ascii="Times New Roman" w:eastAsia="Times New Roman" w:hAnsi="Times New Roman" w:cs="Times New Roman"/>
      <w:b/>
      <w:bCs/>
      <w:kern w:val="36"/>
      <w:sz w:val="24"/>
      <w:szCs w:val="48"/>
      <w:lang w:val="fr-BE" w:eastAsia="de-DE"/>
    </w:rPr>
  </w:style>
  <w:style w:type="character" w:customStyle="1" w:styleId="Titre2Car">
    <w:name w:val="Titre 2 Car"/>
    <w:basedOn w:val="Policepardfaut"/>
    <w:link w:val="Titre2"/>
    <w:uiPriority w:val="9"/>
    <w:rsid w:val="003B0EA6"/>
    <w:rPr>
      <w:rFonts w:ascii="Cambria" w:eastAsia="Times New Roman" w:hAnsi="Cambria" w:cs="Times New Roman"/>
      <w:b/>
      <w:bCs/>
      <w:color w:val="4F81BD"/>
      <w:sz w:val="26"/>
      <w:szCs w:val="26"/>
      <w:lang w:val="fr-BE" w:eastAsia="fr-BE"/>
    </w:rPr>
  </w:style>
  <w:style w:type="character" w:styleId="Lienhypertexte">
    <w:name w:val="Hyperlink"/>
    <w:uiPriority w:val="99"/>
    <w:unhideWhenUsed/>
    <w:rsid w:val="003B0EA6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hAnsi="Helvetica" w:cs="Helvetica"/>
      <w:color w:val="000000"/>
      <w:sz w:val="24"/>
      <w:szCs w:val="24"/>
      <w:lang w:eastAsia="fr-FR" w:bidi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B0EA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0E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0EA6"/>
    <w:rPr>
      <w:rFonts w:ascii="Calibri" w:eastAsia="Times New Roman" w:hAnsi="Calibri" w:cs="Times New Roman"/>
      <w:sz w:val="20"/>
      <w:szCs w:val="20"/>
      <w:lang w:val="fr-BE" w:eastAsia="fr-BE"/>
    </w:rPr>
  </w:style>
  <w:style w:type="character" w:styleId="Appelnotedebasdep">
    <w:name w:val="footnote reference"/>
    <w:uiPriority w:val="99"/>
    <w:semiHidden/>
    <w:unhideWhenUsed/>
    <w:rsid w:val="003B0EA6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customStyle="1" w:styleId="Aucunstyle">
    <w:name w:val="[Aucun style]"/>
    <w:rsid w:val="003B0E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3B0EA6"/>
    <w:rPr>
      <w:rFonts w:ascii="Calibri" w:eastAsia="Times New Roman" w:hAnsi="Calibri" w:cs="Times New Roman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wrp.be" TargetMode="External"/><Relationship Id="rId13" Type="http://schemas.openxmlformats.org/officeDocument/2006/relationships/hyperlink" Target="http://www.le-mediateur.b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tions.phytolicence.dgarne@spw.wallonie.be" TargetMode="External"/><Relationship Id="rId12" Type="http://schemas.openxmlformats.org/officeDocument/2006/relationships/hyperlink" Target="mailto:courrier@le-mediateur.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allonie.be/fr/introduire-une-plainte-sp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enis.godeaux@spw.wallonie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Aurore</dc:creator>
  <cp:keywords/>
  <dc:description/>
  <cp:lastModifiedBy>Soukaïna El Massoudi</cp:lastModifiedBy>
  <cp:revision>2</cp:revision>
  <dcterms:created xsi:type="dcterms:W3CDTF">2025-02-10T13:59:00Z</dcterms:created>
  <dcterms:modified xsi:type="dcterms:W3CDTF">2025-02-10T13:59:00Z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2022-10-26T08:34:38Z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b081bd18-c763-4eb9-a267-0e4c840bc97e</vt:lpwstr>
  </property>
  <property fmtid="{D5CDD505-2E9C-101B-9397-08002B2CF9AE}" pid="8" name="MSIP_Label_97a477d1-147d-4e34-b5e3-7b26d2f44870_ContentBits">
    <vt:lpwstr>0</vt:lpwstr>
  </property>
</Properties>
</file>